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2E" w:rsidRDefault="00406A2E" w:rsidP="00406A2E">
      <w:pPr>
        <w:ind w:left="567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Приложение 8</w:t>
      </w:r>
    </w:p>
    <w:p w:rsidR="00406A2E" w:rsidRDefault="00C005C3" w:rsidP="00406A2E">
      <w:pPr>
        <w:ind w:left="567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к Приказу </w:t>
      </w:r>
      <w:r w:rsidR="00406A2E" w:rsidRPr="00406A2E">
        <w:rPr>
          <w:rStyle w:val="fontstyle01"/>
          <w:rFonts w:ascii="Times New Roman" w:hAnsi="Times New Roman" w:cs="Times New Roman"/>
          <w:sz w:val="28"/>
          <w:szCs w:val="28"/>
        </w:rPr>
        <w:t>МКОУ «</w:t>
      </w:r>
      <w:r>
        <w:rPr>
          <w:rStyle w:val="fontstyle01"/>
          <w:rFonts w:ascii="Times New Roman" w:hAnsi="Times New Roman" w:cs="Times New Roman"/>
          <w:sz w:val="28"/>
          <w:szCs w:val="28"/>
        </w:rPr>
        <w:t>Берикейская СОШ</w:t>
      </w:r>
      <w:r w:rsidR="00406A2E" w:rsidRPr="00406A2E">
        <w:rPr>
          <w:rStyle w:val="fontstyle01"/>
          <w:rFonts w:ascii="Times New Roman" w:hAnsi="Times New Roman" w:cs="Times New Roman"/>
          <w:sz w:val="28"/>
          <w:szCs w:val="28"/>
        </w:rPr>
        <w:t>»</w:t>
      </w:r>
    </w:p>
    <w:p w:rsidR="00406A2E" w:rsidRPr="00C005C3" w:rsidRDefault="00406A2E" w:rsidP="00406A2E">
      <w:pPr>
        <w:ind w:left="567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от 0</w:t>
      </w:r>
      <w:r w:rsidR="00890860">
        <w:rPr>
          <w:rStyle w:val="fontstyle01"/>
          <w:rFonts w:ascii="Times New Roman" w:hAnsi="Times New Roman" w:cs="Times New Roman"/>
          <w:sz w:val="28"/>
          <w:szCs w:val="28"/>
        </w:rPr>
        <w:t>8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.04.2019 г. № </w:t>
      </w:r>
      <w:r w:rsidR="00C005C3">
        <w:rPr>
          <w:rStyle w:val="fontstyle01"/>
          <w:rFonts w:ascii="Times New Roman" w:hAnsi="Times New Roman" w:cs="Times New Roman"/>
          <w:sz w:val="28"/>
          <w:szCs w:val="28"/>
        </w:rPr>
        <w:t>____</w:t>
      </w:r>
    </w:p>
    <w:p w:rsidR="00406A2E" w:rsidRDefault="00406A2E" w:rsidP="00406A2E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bookmarkStart w:id="0" w:name="_GoBack"/>
      <w:r w:rsidRPr="00406A2E">
        <w:rPr>
          <w:rStyle w:val="fontstyle21"/>
          <w:rFonts w:ascii="Times New Roman" w:hAnsi="Times New Roman" w:cs="Times New Roman"/>
          <w:sz w:val="28"/>
          <w:szCs w:val="28"/>
        </w:rPr>
        <w:t>Дизайн-проект и проект зонирования</w:t>
      </w:r>
      <w:r w:rsidR="00C005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21"/>
          <w:rFonts w:ascii="Times New Roman" w:hAnsi="Times New Roman" w:cs="Times New Roman"/>
          <w:sz w:val="28"/>
          <w:szCs w:val="28"/>
        </w:rPr>
        <w:t>Центра</w:t>
      </w:r>
      <w:bookmarkEnd w:id="0"/>
      <w:r w:rsidRPr="00406A2E">
        <w:rPr>
          <w:rStyle w:val="fontstyle21"/>
          <w:rFonts w:ascii="Times New Roman" w:hAnsi="Times New Roman" w:cs="Times New Roman"/>
          <w:sz w:val="28"/>
          <w:szCs w:val="28"/>
        </w:rPr>
        <w:t xml:space="preserve"> цифрового и гуманитарного профилей «Точка роста</w:t>
      </w:r>
      <w:proofErr w:type="gramStart"/>
      <w:r w:rsidRPr="00406A2E">
        <w:rPr>
          <w:rStyle w:val="fontstyle21"/>
          <w:rFonts w:ascii="Times New Roman" w:hAnsi="Times New Roman" w:cs="Times New Roman"/>
          <w:sz w:val="28"/>
          <w:szCs w:val="28"/>
        </w:rPr>
        <w:t>»К</w:t>
      </w:r>
      <w:proofErr w:type="gramEnd"/>
      <w:r w:rsidRPr="00406A2E">
        <w:rPr>
          <w:rStyle w:val="fontstyle21"/>
          <w:rFonts w:ascii="Times New Roman" w:hAnsi="Times New Roman" w:cs="Times New Roman"/>
          <w:sz w:val="28"/>
          <w:szCs w:val="28"/>
        </w:rPr>
        <w:t>онцепция Дизайн-проекта</w:t>
      </w:r>
    </w:p>
    <w:p w:rsidR="00406A2E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Основная идея создания нового структурного подразделения МКОУ </w:t>
      </w:r>
      <w:r w:rsidR="00C005C3" w:rsidRPr="00406A2E">
        <w:rPr>
          <w:rStyle w:val="fontstyle01"/>
          <w:rFonts w:ascii="Times New Roman" w:hAnsi="Times New Roman" w:cs="Times New Roman"/>
          <w:sz w:val="28"/>
          <w:szCs w:val="28"/>
        </w:rPr>
        <w:t>«</w:t>
      </w:r>
      <w:r w:rsidR="00C005C3">
        <w:rPr>
          <w:rStyle w:val="fontstyle01"/>
          <w:rFonts w:ascii="Times New Roman" w:hAnsi="Times New Roman" w:cs="Times New Roman"/>
          <w:sz w:val="28"/>
          <w:szCs w:val="28"/>
        </w:rPr>
        <w:t>Берикейская СОШ</w:t>
      </w:r>
      <w:r w:rsidR="00C005C3" w:rsidRPr="00406A2E">
        <w:rPr>
          <w:rStyle w:val="fontstyle01"/>
          <w:rFonts w:ascii="Times New Roman" w:hAnsi="Times New Roman" w:cs="Times New Roman"/>
          <w:sz w:val="28"/>
          <w:szCs w:val="28"/>
        </w:rPr>
        <w:t>»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 — Центра образования цифрового и гуманитарного</w:t>
      </w:r>
      <w:r w:rsidR="00C005C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профилей (далее - Центра) - состоит в обеспечении условий обучения</w:t>
      </w:r>
      <w:proofErr w:type="gram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,с</w:t>
      </w:r>
      <w:proofErr w:type="gram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пособствующего формированию у детей современных технологических и</w:t>
      </w:r>
      <w:r w:rsidR="00C005C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гуманитарных навыков, в том числе по предметным областям «Технология»,«Информатика», «Основы безопасности жизнедеятельности», других</w:t>
      </w:r>
      <w:r w:rsidR="00C005C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предметных областей, а также внеурочной деятельности и в рамках</w:t>
      </w:r>
      <w:r w:rsidR="00C005C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реализации дополнительных общеобразовательных программ. Согласноосновным принципам создания и функционирования центра площадь двухпомещений, в которых располагается Центр, составляет</w:t>
      </w:r>
      <w:r w:rsidR="00C005C3">
        <w:rPr>
          <w:rStyle w:val="fontstyle01"/>
          <w:rFonts w:ascii="Times New Roman" w:hAnsi="Times New Roman" w:cs="Times New Roman"/>
          <w:sz w:val="28"/>
          <w:szCs w:val="28"/>
        </w:rPr>
        <w:t>53,4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 и </w:t>
      </w:r>
      <w:r w:rsidR="00890860">
        <w:rPr>
          <w:rStyle w:val="fontstyle01"/>
          <w:rFonts w:ascii="Times New Roman" w:hAnsi="Times New Roman" w:cs="Times New Roman"/>
          <w:sz w:val="28"/>
          <w:szCs w:val="28"/>
        </w:rPr>
        <w:t>50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кв</w:t>
      </w:r>
      <w:proofErr w:type="gram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.м</w:t>
      </w:r>
      <w:proofErr w:type="gram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етров</w:t>
      </w:r>
      <w:r w:rsidR="00C005C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и включает:</w:t>
      </w:r>
    </w:p>
    <w:p w:rsidR="00406A2E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• зону формирования цифровых и гуманитарных компетенций, в т.ч. врамках предметной области «Технология», «Информатика», «ОБЖ»;</w:t>
      </w:r>
    </w:p>
    <w:p w:rsidR="00406A2E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, шахматную гостиную, </w:t>
      </w:r>
      <w:proofErr w:type="spell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медиазону</w:t>
      </w:r>
      <w:proofErr w:type="spell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406A2E" w:rsidRDefault="00406A2E" w:rsidP="00406A2E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06A2E">
        <w:rPr>
          <w:rStyle w:val="fontstyle21"/>
          <w:rFonts w:ascii="Times New Roman" w:hAnsi="Times New Roman" w:cs="Times New Roman"/>
          <w:sz w:val="28"/>
          <w:szCs w:val="28"/>
        </w:rPr>
        <w:t>Описание функциональных зон</w:t>
      </w:r>
      <w:r w:rsidR="00C005C3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r w:rsidRPr="00406A2E">
        <w:rPr>
          <w:rStyle w:val="fontstyle21"/>
          <w:rFonts w:ascii="Times New Roman" w:hAnsi="Times New Roman" w:cs="Times New Roman"/>
          <w:sz w:val="28"/>
          <w:szCs w:val="28"/>
        </w:rPr>
        <w:t>Зона формирования цифровых и гуманитарных компетенций.</w:t>
      </w:r>
    </w:p>
    <w:p w:rsidR="00406A2E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Для создания Кабинета формирования цифровых и гуманитарных</w:t>
      </w:r>
      <w:r w:rsidR="00C005C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навыков используется кабинет площадью </w:t>
      </w:r>
      <w:r w:rsidR="00890860">
        <w:rPr>
          <w:rStyle w:val="fontstyle01"/>
          <w:rFonts w:ascii="Times New Roman" w:hAnsi="Times New Roman" w:cs="Times New Roman"/>
          <w:sz w:val="28"/>
          <w:szCs w:val="28"/>
        </w:rPr>
        <w:t>53,4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.м</w:t>
      </w:r>
      <w:proofErr w:type="gram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Информатика,Технология</w:t>
      </w:r>
      <w:proofErr w:type="spell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, ОБЖ). Зона формирования цифровых и гуманитарных компетенцийпредставляет собой образовательное пространство, создающее условия дляформирования цифровых и гуманитарных компетенций в рамках изученияпредметной области «Технология», «Информатика», «ОБЖ».Инфраструктура данной зоны включает в себя модули для изучениявышеперечисленных предметных областей, при этом особенностьюматериально-технического оснащения данных модулей является егосформированность с учетом изменений концептуальных подходов к процессупреподавания данных предметов. Планировка данной зоны позволитиспользовать в процессе преподавания предметных областей «Технология»,«Информатика», «ОБЖ» современные ресурсы и инструменты дляорганизации цифровых обучающих игр, деятельностных образовательныхпрактик, лабораторий, использования цифровых симуляторов, программдистанционного погружения в различные форматы образовательной среды ит.д.</w:t>
      </w:r>
    </w:p>
    <w:p w:rsidR="00406A2E" w:rsidRDefault="00406A2E" w:rsidP="00406A2E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406A2E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Помещение для проектной деятельности</w:t>
      </w:r>
    </w:p>
    <w:p w:rsidR="00406A2E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Для оборудования выделен кабинет площадью 48,8 кв</w:t>
      </w:r>
      <w:proofErr w:type="gram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.м</w:t>
      </w:r>
      <w:proofErr w:type="gram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етров</w:t>
      </w:r>
    </w:p>
    <w:p w:rsidR="00406A2E" w:rsidRDefault="00406A2E" w:rsidP="00406A2E">
      <w:pPr>
        <w:jc w:val="center"/>
        <w:rPr>
          <w:rStyle w:val="fontstyle31"/>
          <w:rFonts w:ascii="Times New Roman" w:hAnsi="Times New Roman" w:cs="Times New Roman"/>
          <w:sz w:val="28"/>
          <w:szCs w:val="28"/>
        </w:rPr>
      </w:pPr>
      <w:r w:rsidRPr="00406A2E">
        <w:rPr>
          <w:rStyle w:val="fontstyle31"/>
          <w:rFonts w:ascii="Times New Roman" w:hAnsi="Times New Roman" w:cs="Times New Roman"/>
          <w:sz w:val="28"/>
          <w:szCs w:val="28"/>
        </w:rPr>
        <w:t>Зона «Коворкинг»</w:t>
      </w:r>
    </w:p>
    <w:p w:rsidR="00406A2E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Зона «Коворкинг» — зона для организации личного пространства иработы небольшими командами. Должна быть организована как помещение,разделённое на отдельные или общие рабочие зоны с доступом в Интернет,полностью оборудованные оргтехникой. Зона «Коворкинг» оборудована всемнеобходимым для осуществления образовательной деятельности, основаннойна принципах мобильности, доступности, интерактивности, деятельности,насыщенности и открытости. Зонирование коворкинга и его материально-техническая база позволяют максимально эффективно решать задачиформирования цифровых и гуманитарных компетенций учащихся. Наличие </w:t>
      </w:r>
      <w:proofErr w:type="spell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вмедиазоне</w:t>
      </w:r>
      <w:proofErr w:type="spell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 большого сенсорного экрана, мобильного компьютерного класса,интернет-библиотеки позволит эффективно организовать интерактивныемероприятия как на самой площадке коворкинга, так и в дистанционномрежиме в условиях сетевого взаимодействия. Созданные условия позволятизменить методику преподавания в ОУ через проведение коллективных игрупповых тренингов, применение проектных и игровых технологий сиспользованием ресурсов информационной среды и цифровыхинструментов. На базе коворкингавыделены медиа-зона и зона дляпроектной деятельности. Правильная организация коворкинга создастусловия для взаимодействия всех участников образовательного процесса сцелью организации проектной деятельности и образовательных событий,способствующих формированию компетенций и навыков, позволяющихстать конкурентоспособным в условиях цифровой экономики.</w:t>
      </w:r>
    </w:p>
    <w:p w:rsidR="00406A2E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proofErr w:type="spell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Медиазону</w:t>
      </w:r>
      <w:proofErr w:type="spell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/</w:t>
      </w:r>
      <w:proofErr w:type="spell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медиатекупланируется</w:t>
      </w:r>
      <w:proofErr w:type="spell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разместитьрядом</w:t>
      </w:r>
      <w:proofErr w:type="spell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 с площадью дляковоркинга, что позволит создать условия для взаимодействия всехучастников образовательного процесса с целью организации проектнойдеятельности и образовательных событий, способствующих формированиюкомпетенций и навыков, позволяющих стать конкурентоспособным вусловиях цифровой экономики.</w:t>
      </w:r>
    </w:p>
    <w:p w:rsidR="00406A2E" w:rsidRPr="00406A2E" w:rsidRDefault="00406A2E" w:rsidP="00B7795A">
      <w:pPr>
        <w:jc w:val="center"/>
        <w:rPr>
          <w:rStyle w:val="fontstyle31"/>
          <w:rFonts w:ascii="Times New Roman" w:hAnsi="Times New Roman" w:cs="Times New Roman"/>
          <w:sz w:val="28"/>
          <w:szCs w:val="28"/>
        </w:rPr>
      </w:pPr>
      <w:r w:rsidRPr="00406A2E">
        <w:rPr>
          <w:rStyle w:val="fontstyle31"/>
          <w:rFonts w:ascii="Times New Roman" w:hAnsi="Times New Roman" w:cs="Times New Roman"/>
          <w:sz w:val="28"/>
          <w:szCs w:val="28"/>
        </w:rPr>
        <w:t>Зона «Шахматная гостиная»</w:t>
      </w:r>
    </w:p>
    <w:p w:rsidR="00406A2E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Выделенная многофункциональная зона. Обеспечивает каквозможность обучения игре в шахматы, так и возможность проводить матчи,играть в свободное время, осуществлять анализ и разбор шахматных партий,технически оборудована компьютерами с подключением к сети интернет иэкраном, шахматным оборудованием в достаточном количестве.</w:t>
      </w: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95A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Дизайн-проект</w:t>
      </w: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Общее цветовое решение для Центра:</w:t>
      </w: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стены ** нейтральный светлый, пол — светлые оттенки, мебель — по</w:t>
      </w: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возможности сочетание красного и белого цветов.</w:t>
      </w: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Для оформления стен: на одной стене помещения акцент в видеграфического изображенияНа входной группе на одной из стен помещения будет расположенлоготип Центра</w:t>
      </w:r>
      <w:proofErr w:type="gramStart"/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.Т</w:t>
      </w:r>
      <w:proofErr w:type="gramEnd"/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акже, в коридоре Центра находится стенд, оформленный согласнобрендбука «Точка роста» в черно-красной цветовой гамме.</w:t>
      </w: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06A2E" w:rsidRPr="00B7795A" w:rsidRDefault="00406A2E" w:rsidP="00406A2E">
      <w:pPr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 xml:space="preserve">ТОЧКА </w:t>
      </w:r>
      <w:r w:rsidRPr="00B7795A">
        <w:rPr>
          <w:rStyle w:val="fontstyle41"/>
          <w:rFonts w:ascii="Times New Roman" w:hAnsi="Times New Roman" w:cs="Times New Roman"/>
          <w:sz w:val="28"/>
          <w:szCs w:val="28"/>
        </w:rPr>
        <w:t xml:space="preserve">^ </w:t>
      </w: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РОСТА</w:t>
      </w:r>
      <w:r w:rsidRPr="00B779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 w:rsidRPr="00B7795A">
        <w:rPr>
          <w:rStyle w:val="fontstyle51"/>
          <w:rFonts w:ascii="Times New Roman" w:hAnsi="Times New Roman" w:cs="Times New Roman"/>
          <w:sz w:val="28"/>
          <w:szCs w:val="28"/>
        </w:rPr>
        <w:t>Центр образования цифровогои гуманитарного профилей</w:t>
      </w: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В зависимости от объемов средств муниципальных бюджетовпредусмотрены:</w:t>
      </w: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- изготовление бейджей для педагогов и обучающихся;</w:t>
      </w:r>
    </w:p>
    <w:p w:rsidR="009A3395" w:rsidRPr="00406A2E" w:rsidRDefault="00406A2E" w:rsidP="0040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- 2 баннера для оформления помещений.</w:t>
      </w:r>
    </w:p>
    <w:sectPr w:rsidR="009A3395" w:rsidRPr="00406A2E" w:rsidSect="0077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Gothic-Heav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A2E"/>
    <w:rsid w:val="00406A2E"/>
    <w:rsid w:val="00751F08"/>
    <w:rsid w:val="0077123C"/>
    <w:rsid w:val="00890860"/>
    <w:rsid w:val="009A3395"/>
    <w:rsid w:val="00B7795A"/>
    <w:rsid w:val="00C005C3"/>
    <w:rsid w:val="00C32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06A2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406A2E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406A2E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406A2E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51">
    <w:name w:val="fontstyle51"/>
    <w:basedOn w:val="a0"/>
    <w:rsid w:val="00406A2E"/>
    <w:rPr>
      <w:rFonts w:ascii="FranklinGothic-Heavy" w:hAnsi="FranklinGothic-Heavy" w:hint="default"/>
      <w:b w:val="0"/>
      <w:bCs w:val="0"/>
      <w:i w:val="0"/>
      <w:iCs w:val="0"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Vagif</dc:creator>
  <cp:keywords/>
  <dc:description/>
  <cp:lastModifiedBy>1</cp:lastModifiedBy>
  <cp:revision>5</cp:revision>
  <cp:lastPrinted>2019-06-25T03:12:00Z</cp:lastPrinted>
  <dcterms:created xsi:type="dcterms:W3CDTF">2019-06-16T17:50:00Z</dcterms:created>
  <dcterms:modified xsi:type="dcterms:W3CDTF">2019-06-25T03:12:00Z</dcterms:modified>
</cp:coreProperties>
</file>